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 con associazioni e altri enti di diritto privato non di competenza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definizione e nella elaborazione di convenzioni tra i comuni e tra i comuni e provincia, costituzione e modificazione di forme associative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Le convenzioni possono prevedere l'organizzazione delle attivita' in collaborazione con l'</w:t>
            </w:r>
            <w:r>
              <w:rPr>
                <w:rFonts w:ascii="Arial" w:hAnsi="Arial"/>
              </w:rPr>
              <w:t>Ente, l'utilizzo delle strutture di proprieta' pubblica, benefici indiretti, forme di sostegno alle iniziative e contributi economici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0520A4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340F1D" w:rsidRDefault="000520A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520A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0F1D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2020-06-30T09:36:00Z</dcterms:modified>
</cp:coreProperties>
</file>